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304" w14:textId="3D005531" w:rsidR="0029569F" w:rsidRPr="007A6E5C" w:rsidRDefault="00D54295" w:rsidP="0029569F">
      <w:pPr>
        <w:spacing w:after="20"/>
        <w:jc w:val="center"/>
        <w:rPr>
          <w:color w:val="1F3864" w:themeColor="accent1" w:themeShade="80"/>
          <w:vertAlign w:val="superscript"/>
        </w:rPr>
      </w:pPr>
      <w:r w:rsidRPr="00D54295">
        <w:rPr>
          <w:b/>
          <w:color w:val="1F3864" w:themeColor="accent1" w:themeShade="80"/>
          <w:sz w:val="25"/>
        </w:rPr>
        <w:t xml:space="preserve">CONSTRUCCIÓN PSICOMÉTRICA PARA EVALUAR LA MEMORIA A CORTO PLAZO EN </w:t>
      </w:r>
      <w:r>
        <w:rPr>
          <w:b/>
          <w:color w:val="1F3864" w:themeColor="accent1" w:themeShade="80"/>
          <w:sz w:val="25"/>
        </w:rPr>
        <w:t>CONSUMIDORES</w:t>
      </w:r>
      <w:r w:rsidRPr="00D54295">
        <w:rPr>
          <w:b/>
          <w:color w:val="1F3864" w:themeColor="accent1" w:themeShade="80"/>
          <w:sz w:val="25"/>
        </w:rPr>
        <w:t xml:space="preserve"> DE CANNABIS</w:t>
      </w:r>
    </w:p>
    <w:p w14:paraId="25E6CD07" w14:textId="20BF51E7" w:rsidR="0029569F" w:rsidRDefault="0029569F" w:rsidP="0029569F">
      <w:pPr>
        <w:spacing w:after="80"/>
        <w:jc w:val="center"/>
      </w:pPr>
    </w:p>
    <w:p w14:paraId="32D24A50" w14:textId="77777777" w:rsidR="00BF6AA4" w:rsidRPr="00BF6AA4" w:rsidRDefault="00BF6AA4" w:rsidP="00BF6AA4">
      <w:pPr>
        <w:keepNext/>
        <w:keepLines/>
        <w:spacing w:after="0" w:line="276" w:lineRule="auto"/>
        <w:jc w:val="center"/>
        <w:outlineLvl w:val="0"/>
        <w:rPr>
          <w:rFonts w:ascii="Calibri" w:eastAsia="Times New Roman" w:hAnsi="Calibri" w:cs="Calibri"/>
          <w:b/>
          <w:bCs/>
          <w:kern w:val="0"/>
          <w:lang w:eastAsia="es-CO"/>
          <w14:ligatures w14:val="none"/>
        </w:rPr>
      </w:pPr>
      <w:r w:rsidRPr="00BF6AA4">
        <w:rPr>
          <w:rFonts w:ascii="Calibri" w:eastAsia="Times New Roman" w:hAnsi="Calibri" w:cs="Calibri"/>
          <w:b/>
          <w:bCs/>
          <w:kern w:val="0"/>
          <w:lang w:eastAsia="es-CO"/>
          <w14:ligatures w14:val="none"/>
        </w:rPr>
        <w:t xml:space="preserve">Autores </w:t>
      </w:r>
    </w:p>
    <w:p w14:paraId="4879C02B" w14:textId="77777777" w:rsidR="00BF6AA4" w:rsidRPr="00BF6AA4" w:rsidRDefault="00BF6AA4" w:rsidP="00BF6AA4">
      <w:pPr>
        <w:spacing w:after="0" w:line="276" w:lineRule="auto"/>
        <w:jc w:val="center"/>
        <w:rPr>
          <w:rFonts w:ascii="Calibri" w:eastAsia="Times New Roman" w:hAnsi="Calibri" w:cs="Calibri"/>
          <w:kern w:val="0"/>
          <w:vertAlign w:val="superscript"/>
          <w:lang w:eastAsia="es-CO"/>
          <w14:ligatures w14:val="none"/>
        </w:rPr>
      </w:pPr>
      <w:r w:rsidRPr="00BF6AA4">
        <w:rPr>
          <w:rFonts w:ascii="Calibri" w:eastAsia="Times New Roman" w:hAnsi="Calibri" w:cs="Calibri"/>
          <w:kern w:val="0"/>
          <w:lang w:eastAsia="es-CO"/>
          <w14:ligatures w14:val="none"/>
        </w:rPr>
        <w:t>Angell Francesca Barba García</w:t>
      </w:r>
      <w:r w:rsidRPr="00BF6AA4">
        <w:rPr>
          <w:rFonts w:ascii="Calibri" w:eastAsia="Times New Roman" w:hAnsi="Calibri" w:cs="Calibri"/>
          <w:kern w:val="0"/>
          <w:vertAlign w:val="superscript"/>
          <w:lang w:eastAsia="es-CO"/>
          <w14:ligatures w14:val="none"/>
        </w:rPr>
        <w:t>1</w:t>
      </w:r>
      <w:r w:rsidRPr="00BF6AA4">
        <w:rPr>
          <w:rFonts w:ascii="Calibri" w:eastAsia="Times New Roman" w:hAnsi="Calibri" w:cs="Calibri"/>
          <w:noProof/>
          <w:kern w:val="0"/>
          <w:lang w:eastAsia="es-CO"/>
          <w14:ligatures w14:val="none"/>
        </w:rPr>
        <w:drawing>
          <wp:inline distT="0" distB="0" distL="0" distR="0" wp14:anchorId="5351B3C8" wp14:editId="006AE616">
            <wp:extent cx="132869" cy="12999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51290"/>
                    <a:stretch>
                      <a:fillRect/>
                    </a:stretch>
                  </pic:blipFill>
                  <pic:spPr>
                    <a:xfrm>
                      <a:off x="0" y="0"/>
                      <a:ext cx="132869" cy="129997"/>
                    </a:xfrm>
                    <a:prstGeom prst="rect">
                      <a:avLst/>
                    </a:prstGeom>
                    <a:ln/>
                  </pic:spPr>
                </pic:pic>
              </a:graphicData>
            </a:graphic>
          </wp:inline>
        </w:drawing>
      </w:r>
      <w:r w:rsidRPr="00BF6AA4">
        <w:rPr>
          <w:rFonts w:ascii="Calibri" w:eastAsia="Times New Roman" w:hAnsi="Calibri" w:cs="Calibri"/>
          <w:kern w:val="0"/>
          <w:lang w:eastAsia="es-CO"/>
          <w14:ligatures w14:val="none"/>
        </w:rPr>
        <w:t>, Camilo Andres Villamizar Conde</w:t>
      </w:r>
      <w:r w:rsidRPr="00BF6AA4">
        <w:rPr>
          <w:rFonts w:ascii="Calibri" w:eastAsia="Times New Roman" w:hAnsi="Calibri" w:cs="Calibri"/>
          <w:kern w:val="0"/>
          <w:vertAlign w:val="superscript"/>
          <w:lang w:eastAsia="es-CO"/>
          <w14:ligatures w14:val="none"/>
        </w:rPr>
        <w:t>2</w:t>
      </w:r>
      <w:r w:rsidRPr="00BF6AA4">
        <w:rPr>
          <w:rFonts w:ascii="Calibri" w:eastAsia="Times New Roman" w:hAnsi="Calibri" w:cs="Calibri"/>
          <w:noProof/>
          <w:kern w:val="0"/>
          <w:lang w:eastAsia="es-CO"/>
          <w14:ligatures w14:val="none"/>
        </w:rPr>
        <w:drawing>
          <wp:inline distT="0" distB="0" distL="0" distR="0" wp14:anchorId="20099916" wp14:editId="2B429239">
            <wp:extent cx="132869" cy="12999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51290"/>
                    <a:stretch>
                      <a:fillRect/>
                    </a:stretch>
                  </pic:blipFill>
                  <pic:spPr>
                    <a:xfrm>
                      <a:off x="0" y="0"/>
                      <a:ext cx="132869" cy="129997"/>
                    </a:xfrm>
                    <a:prstGeom prst="rect">
                      <a:avLst/>
                    </a:prstGeom>
                    <a:ln/>
                  </pic:spPr>
                </pic:pic>
              </a:graphicData>
            </a:graphic>
          </wp:inline>
        </w:drawing>
      </w:r>
    </w:p>
    <w:p w14:paraId="01CE1B0D" w14:textId="77777777" w:rsidR="00BF6AA4" w:rsidRPr="00BF6AA4" w:rsidRDefault="00BF6AA4" w:rsidP="00BF6AA4">
      <w:pPr>
        <w:keepNext/>
        <w:keepLines/>
        <w:spacing w:after="0" w:line="276" w:lineRule="auto"/>
        <w:jc w:val="center"/>
        <w:outlineLvl w:val="0"/>
        <w:rPr>
          <w:rFonts w:ascii="Calibri" w:eastAsia="Times New Roman" w:hAnsi="Calibri" w:cs="Calibri"/>
          <w:b/>
          <w:bCs/>
          <w:kern w:val="0"/>
          <w:lang w:eastAsia="es-CO"/>
          <w14:ligatures w14:val="none"/>
        </w:rPr>
      </w:pPr>
      <w:r w:rsidRPr="00BF6AA4">
        <w:rPr>
          <w:rFonts w:ascii="Calibri" w:eastAsia="Times New Roman" w:hAnsi="Calibri" w:cs="Calibri"/>
          <w:b/>
          <w:bCs/>
          <w:kern w:val="0"/>
          <w:lang w:eastAsia="es-CO"/>
          <w14:ligatures w14:val="none"/>
        </w:rPr>
        <w:t xml:space="preserve">Coautor </w:t>
      </w:r>
    </w:p>
    <w:p w14:paraId="5AF064A3" w14:textId="77777777" w:rsidR="00BF6AA4" w:rsidRPr="00BF6AA4" w:rsidRDefault="00BF6AA4" w:rsidP="00BF6AA4">
      <w:pPr>
        <w:spacing w:after="0" w:line="276" w:lineRule="auto"/>
        <w:jc w:val="center"/>
        <w:rPr>
          <w:rFonts w:ascii="Calibri" w:eastAsia="Times New Roman" w:hAnsi="Calibri" w:cs="Calibri"/>
          <w:kern w:val="0"/>
          <w:vertAlign w:val="superscript"/>
          <w:lang w:eastAsia="es-CO"/>
          <w14:ligatures w14:val="none"/>
        </w:rPr>
      </w:pPr>
      <w:r w:rsidRPr="00BF6AA4">
        <w:rPr>
          <w:rFonts w:ascii="Calibri" w:eastAsia="Times New Roman" w:hAnsi="Calibri" w:cs="Calibri"/>
          <w:kern w:val="0"/>
          <w:lang w:eastAsia="es-CO"/>
          <w14:ligatures w14:val="none"/>
        </w:rPr>
        <w:t>Esp. Imelda Rosa Vega Becerra</w:t>
      </w:r>
      <w:r w:rsidRPr="00BF6AA4">
        <w:rPr>
          <w:rFonts w:ascii="Calibri" w:eastAsia="Times New Roman" w:hAnsi="Calibri" w:cs="Calibri"/>
          <w:kern w:val="0"/>
          <w:vertAlign w:val="superscript"/>
          <w:lang w:eastAsia="es-CO"/>
          <w14:ligatures w14:val="none"/>
        </w:rPr>
        <w:t>3</w:t>
      </w:r>
      <w:r w:rsidRPr="00BF6AA4">
        <w:rPr>
          <w:rFonts w:ascii="Calibri" w:eastAsia="Times New Roman" w:hAnsi="Calibri" w:cs="Calibri"/>
          <w:noProof/>
          <w:kern w:val="0"/>
          <w:lang w:eastAsia="es-CO"/>
          <w14:ligatures w14:val="none"/>
        </w:rPr>
        <w:drawing>
          <wp:inline distT="0" distB="0" distL="0" distR="0" wp14:anchorId="33F060A6" wp14:editId="27B88A86">
            <wp:extent cx="132869" cy="1299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r="51290"/>
                    <a:stretch>
                      <a:fillRect/>
                    </a:stretch>
                  </pic:blipFill>
                  <pic:spPr>
                    <a:xfrm>
                      <a:off x="0" y="0"/>
                      <a:ext cx="132869" cy="129997"/>
                    </a:xfrm>
                    <a:prstGeom prst="rect">
                      <a:avLst/>
                    </a:prstGeom>
                    <a:ln/>
                  </pic:spPr>
                </pic:pic>
              </a:graphicData>
            </a:graphic>
          </wp:inline>
        </w:drawing>
      </w:r>
    </w:p>
    <w:p w14:paraId="07EFAF00" w14:textId="77777777" w:rsidR="00961007" w:rsidRPr="00BF6AA4" w:rsidRDefault="00961007" w:rsidP="0029569F">
      <w:pPr>
        <w:spacing w:after="80"/>
        <w:jc w:val="center"/>
        <w:rPr>
          <w:rFonts w:ascii="Calibri" w:hAnsi="Calibri" w:cs="Calibri"/>
        </w:rPr>
      </w:pPr>
    </w:p>
    <w:p w14:paraId="25B367AD" w14:textId="446F9EDC" w:rsidR="00BF6AA4" w:rsidRPr="00BF6AA4" w:rsidRDefault="00BF6AA4" w:rsidP="00BF6AA4">
      <w:pPr>
        <w:spacing w:after="0" w:line="360" w:lineRule="auto"/>
        <w:jc w:val="center"/>
        <w:rPr>
          <w:rFonts w:ascii="Calibri" w:eastAsia="Times New Roman" w:hAnsi="Calibri" w:cs="Calibri"/>
          <w:kern w:val="0"/>
          <w:lang w:eastAsia="es-CO"/>
          <w14:ligatures w14:val="none"/>
        </w:rPr>
      </w:pPr>
      <w:r w:rsidRPr="00BF6AA4">
        <w:rPr>
          <w:rFonts w:ascii="Calibri" w:eastAsia="Times New Roman" w:hAnsi="Calibri" w:cs="Calibri"/>
          <w:b/>
          <w:bCs/>
          <w:color w:val="000000"/>
          <w:kern w:val="0"/>
          <w:vertAlign w:val="superscript"/>
          <w:lang w:eastAsia="es-CO"/>
          <w14:ligatures w14:val="none"/>
        </w:rPr>
        <w:t xml:space="preserve">1 </w:t>
      </w:r>
      <w:r w:rsidRPr="00BF6AA4">
        <w:rPr>
          <w:rFonts w:ascii="Calibri" w:eastAsia="Times New Roman" w:hAnsi="Calibri" w:cs="Calibri"/>
          <w:kern w:val="0"/>
          <w:lang w:eastAsia="es-CO"/>
          <w14:ligatures w14:val="none"/>
        </w:rPr>
        <w:t>Universidad de Pamplona</w:t>
      </w:r>
      <w:r>
        <w:rPr>
          <w:rFonts w:ascii="Calibri" w:eastAsia="Times New Roman" w:hAnsi="Calibri" w:cs="Calibri"/>
          <w:kern w:val="0"/>
          <w:lang w:eastAsia="es-CO"/>
          <w14:ligatures w14:val="none"/>
        </w:rPr>
        <w:t>,</w:t>
      </w:r>
      <w:r w:rsidRPr="00BF6AA4">
        <w:rPr>
          <w:rFonts w:ascii="Calibri" w:eastAsia="Times New Roman" w:hAnsi="Calibri" w:cs="Calibri"/>
          <w:kern w:val="0"/>
          <w:lang w:eastAsia="es-CO"/>
          <w14:ligatures w14:val="none"/>
        </w:rPr>
        <w:t xml:space="preserve"> Pamplona, Norte de Santander, Colombi, orcid 0009-0002-4425-5542</w:t>
      </w:r>
      <w:r w:rsidR="00F80DDD">
        <w:rPr>
          <w:rFonts w:ascii="Calibri" w:eastAsia="Times New Roman" w:hAnsi="Calibri" w:cs="Calibri"/>
          <w:kern w:val="0"/>
          <w:lang w:eastAsia="es-CO"/>
          <w14:ligatures w14:val="none"/>
        </w:rPr>
        <w:t xml:space="preserve">, </w:t>
      </w:r>
      <w:r w:rsidR="00F80DDD" w:rsidRPr="00F80DDD">
        <w:rPr>
          <w:rFonts w:ascii="Calibri" w:eastAsia="Times New Roman" w:hAnsi="Calibri" w:cs="Calibri"/>
          <w:kern w:val="0"/>
          <w:lang w:eastAsia="es-CO"/>
          <w14:ligatures w14:val="none"/>
        </w:rPr>
        <w:t>angell.barbaang@unipamplona.edu.co</w:t>
      </w:r>
    </w:p>
    <w:p w14:paraId="6E9D2A57" w14:textId="31236C54" w:rsidR="00BF6AA4" w:rsidRPr="00BF6AA4" w:rsidRDefault="00BF6AA4" w:rsidP="00BF6AA4">
      <w:pPr>
        <w:spacing w:after="0" w:line="360" w:lineRule="auto"/>
        <w:jc w:val="center"/>
        <w:rPr>
          <w:rFonts w:ascii="Calibri" w:eastAsia="Times New Roman" w:hAnsi="Calibri" w:cs="Calibri"/>
          <w:kern w:val="0"/>
          <w:lang w:eastAsia="es-CO"/>
          <w14:ligatures w14:val="none"/>
        </w:rPr>
      </w:pPr>
      <w:r w:rsidRPr="00BF6AA4">
        <w:rPr>
          <w:rFonts w:ascii="Calibri" w:eastAsia="Times New Roman" w:hAnsi="Calibri" w:cs="Calibri"/>
          <w:b/>
          <w:bCs/>
          <w:color w:val="000000"/>
          <w:kern w:val="0"/>
          <w:vertAlign w:val="superscript"/>
          <w:lang w:eastAsia="es-CO"/>
          <w14:ligatures w14:val="none"/>
        </w:rPr>
        <w:t xml:space="preserve">2 </w:t>
      </w:r>
      <w:r w:rsidRPr="00BF6AA4">
        <w:rPr>
          <w:rFonts w:ascii="Calibri" w:eastAsia="Times New Roman" w:hAnsi="Calibri" w:cs="Calibri"/>
          <w:kern w:val="0"/>
          <w:lang w:eastAsia="es-CO"/>
          <w14:ligatures w14:val="none"/>
        </w:rPr>
        <w:t xml:space="preserve">Universidad de Pamplona, Pamplona, Norte de Santander, Colombia, orcid 0009-0003-9205-5243, </w:t>
      </w:r>
      <w:r w:rsidRPr="00BF6AA4">
        <w:rPr>
          <w:rFonts w:ascii="Calibri" w:eastAsia="Times New Roman" w:hAnsi="Calibri" w:cs="Calibri"/>
          <w:color w:val="000000" w:themeColor="text1"/>
          <w:kern w:val="0"/>
          <w:lang w:eastAsia="es-CO"/>
          <w14:ligatures w14:val="none"/>
        </w:rPr>
        <w:t>camilo.villamizar2</w:t>
      </w:r>
      <w:hyperlink r:id="rId9" w:history="1">
        <w:r w:rsidRPr="00BF6AA4">
          <w:rPr>
            <w:rStyle w:val="Hipervnculo"/>
            <w:rFonts w:ascii="Calibri" w:hAnsi="Calibri" w:cs="Calibri"/>
            <w:color w:val="000000" w:themeColor="text1"/>
            <w:u w:val="none"/>
            <w:lang w:eastAsia="es-CO"/>
          </w:rPr>
          <w:t>@unipamplona.edu.co</w:t>
        </w:r>
      </w:hyperlink>
      <w:r w:rsidRPr="00BF6AA4">
        <w:rPr>
          <w:rFonts w:ascii="Calibri" w:hAnsi="Calibri" w:cs="Calibri"/>
          <w:color w:val="000000" w:themeColor="text1"/>
        </w:rPr>
        <w:t xml:space="preserve"> </w:t>
      </w:r>
    </w:p>
    <w:p w14:paraId="1E6E4B49" w14:textId="24F9397C" w:rsidR="00BF6AA4" w:rsidRDefault="00BF6AA4" w:rsidP="00BF6AA4">
      <w:pPr>
        <w:spacing w:after="0" w:line="360" w:lineRule="auto"/>
        <w:jc w:val="center"/>
        <w:rPr>
          <w:rFonts w:ascii="Calibri" w:eastAsia="Times New Roman" w:hAnsi="Calibri" w:cs="Calibri"/>
          <w:kern w:val="0"/>
          <w:lang w:eastAsia="es-CO"/>
          <w14:ligatures w14:val="none"/>
        </w:rPr>
      </w:pPr>
      <w:r w:rsidRPr="00BF6AA4">
        <w:rPr>
          <w:rFonts w:ascii="Calibri" w:eastAsia="Times New Roman" w:hAnsi="Calibri" w:cs="Calibri"/>
          <w:b/>
          <w:bCs/>
          <w:color w:val="000000"/>
          <w:kern w:val="0"/>
          <w:vertAlign w:val="superscript"/>
          <w:lang w:eastAsia="es-CO"/>
          <w14:ligatures w14:val="none"/>
        </w:rPr>
        <w:t xml:space="preserve">3 </w:t>
      </w:r>
      <w:r w:rsidRPr="00BF6AA4">
        <w:rPr>
          <w:rFonts w:ascii="Calibri" w:eastAsia="Times New Roman" w:hAnsi="Calibri" w:cs="Calibri"/>
          <w:kern w:val="0"/>
          <w:lang w:eastAsia="es-CO"/>
          <w14:ligatures w14:val="none"/>
        </w:rPr>
        <w:t>Universidad de Pamplona, Especialista en Psicología Clínica y de la Salud, Pamplona, Norte de Santander, Colombia, orcid 0000-0002-9806-5202</w:t>
      </w:r>
      <w:r w:rsidR="00F80DDD">
        <w:rPr>
          <w:rFonts w:ascii="Calibri" w:eastAsia="Times New Roman" w:hAnsi="Calibri" w:cs="Calibri"/>
          <w:kern w:val="0"/>
          <w:lang w:eastAsia="es-CO"/>
          <w14:ligatures w14:val="none"/>
        </w:rPr>
        <w:t xml:space="preserve">, </w:t>
      </w:r>
      <w:r w:rsidR="00F80DDD" w:rsidRPr="00F80DDD">
        <w:rPr>
          <w:rFonts w:ascii="Calibri" w:eastAsia="Times New Roman" w:hAnsi="Calibri" w:cs="Calibri"/>
          <w:kern w:val="0"/>
          <w:lang w:eastAsia="es-CO"/>
          <w14:ligatures w14:val="none"/>
        </w:rPr>
        <w:t>imelda.vega@unipamplona.edu.co</w:t>
      </w:r>
    </w:p>
    <w:p w14:paraId="2B71A701" w14:textId="77777777" w:rsidR="00F80DDD" w:rsidRPr="00BF6AA4" w:rsidRDefault="00F80DDD" w:rsidP="00BF6AA4">
      <w:pPr>
        <w:spacing w:after="0" w:line="360" w:lineRule="auto"/>
        <w:jc w:val="center"/>
        <w:rPr>
          <w:rFonts w:ascii="Calibri" w:eastAsia="Times New Roman" w:hAnsi="Calibri" w:cs="Calibri"/>
          <w:kern w:val="0"/>
          <w:lang w:eastAsia="es-CO"/>
          <w14:ligatures w14:val="none"/>
        </w:rPr>
      </w:pPr>
    </w:p>
    <w:p w14:paraId="093FC80A" w14:textId="27FBB24C" w:rsidR="0029569F" w:rsidRDefault="0029569F" w:rsidP="0029569F">
      <w:pPr>
        <w:rPr>
          <w:rFonts w:cs="Times New Roman"/>
          <w:b/>
          <w:bCs/>
          <w:lang w:eastAsia="es-CO"/>
        </w:rPr>
      </w:pPr>
      <w:r>
        <w:rPr>
          <w:rFonts w:cs="Times New Roman"/>
          <w:b/>
          <w:bCs/>
          <w:lang w:eastAsia="es-CO"/>
        </w:rPr>
        <w:t>Eje Temático</w:t>
      </w:r>
    </w:p>
    <w:p w14:paraId="6EF01F58" w14:textId="264ADD84" w:rsidR="00544C1C" w:rsidRDefault="0029569F" w:rsidP="00544C1C">
      <w:pPr>
        <w:spacing w:line="240" w:lineRule="auto"/>
      </w:pPr>
      <w:r>
        <w:t>Eje 2: Intervención Clínica y Dinámicas Vinculares</w:t>
      </w:r>
    </w:p>
    <w:p w14:paraId="1F297956" w14:textId="77777777" w:rsidR="0029569F" w:rsidRDefault="0029569F" w:rsidP="0029569F">
      <w:pPr>
        <w:spacing w:after="40" w:line="360" w:lineRule="auto"/>
      </w:pPr>
      <w:r>
        <w:rPr>
          <w:b/>
        </w:rPr>
        <w:t>Resumen</w:t>
      </w:r>
    </w:p>
    <w:p w14:paraId="74A66635" w14:textId="77777777" w:rsidR="003074F0" w:rsidRDefault="003074F0" w:rsidP="00F80DDD">
      <w:pPr>
        <w:spacing w:line="360" w:lineRule="auto"/>
        <w:jc w:val="both"/>
      </w:pPr>
      <w:r w:rsidRPr="003074F0">
        <w:t>La investigación se centra en el desarrollo de un instrumento psicométrico</w:t>
      </w:r>
      <w:r w:rsidRPr="00980DC9">
        <w:t>, que permita evaluar las afectaciones en la memoria episódica</w:t>
      </w:r>
      <w:r>
        <w:t xml:space="preserve"> o memoria a corto plazo</w:t>
      </w:r>
      <w:r w:rsidRPr="00980DC9">
        <w:t>, asociadas al consumo de cannabis en adultos emergentes</w:t>
      </w:r>
      <w:r>
        <w:t xml:space="preserve"> considerando como eje central los </w:t>
      </w:r>
      <w:r w:rsidRPr="003074F0">
        <w:t>factores psicosociales propios de esta etapa del desarrollo</w:t>
      </w:r>
      <w:r>
        <w:t xml:space="preserve"> </w:t>
      </w:r>
      <w:r w:rsidRPr="00980DC9">
        <w:t>(Matud et al., 2020</w:t>
      </w:r>
      <w:r>
        <w:t>).</w:t>
      </w:r>
      <w:r w:rsidRPr="00980DC9">
        <w:t xml:space="preserve"> </w:t>
      </w:r>
      <w:r w:rsidRPr="003074F0">
        <w:t>En el marco del creciente uso de esta sustancia</w:t>
      </w:r>
      <w:r w:rsidRPr="00980DC9">
        <w:t>,</w:t>
      </w:r>
      <w:r>
        <w:t xml:space="preserve"> adjudicada a</w:t>
      </w:r>
      <w:r w:rsidRPr="00980DC9">
        <w:t xml:space="preserve"> las recientes leyes de legalización (Cubillos Sánchez, 2020),</w:t>
      </w:r>
      <w:r>
        <w:t xml:space="preserve"> que proporcionan un ambiente ideal para su distribución, contribuyendo a las altas tasas de consumo,  que de acuerdo con el </w:t>
      </w:r>
      <w:r w:rsidRPr="00E3664F">
        <w:t>Instituto Nacional sobre el Abuso de Drogas (2023)</w:t>
      </w:r>
      <w:r>
        <w:t xml:space="preserve">, en Colombia se estima que el 21% de los adultos entre los 19 y 30 años de edad han consumido esta sustancia al menos una vez en su vida, así mismo, se calcula que existen </w:t>
      </w:r>
      <w:r w:rsidRPr="00980DC9">
        <w:t xml:space="preserve">640.000 consumidores </w:t>
      </w:r>
      <w:r>
        <w:t>activos en el territorio nacional(</w:t>
      </w:r>
      <w:r w:rsidRPr="00980DC9">
        <w:t>Ministerio de Justicia et al., 2019).</w:t>
      </w:r>
    </w:p>
    <w:p w14:paraId="2EABEC6D" w14:textId="77777777" w:rsidR="003074F0" w:rsidRDefault="003074F0" w:rsidP="00F80DDD">
      <w:pPr>
        <w:spacing w:line="360" w:lineRule="auto"/>
        <w:jc w:val="both"/>
      </w:pPr>
      <w:r w:rsidRPr="00980DC9">
        <w:lastRenderedPageBreak/>
        <w:t>A partir de esta realidad</w:t>
      </w:r>
      <w:r>
        <w:t>,</w:t>
      </w:r>
      <w:r w:rsidRPr="00980DC9">
        <w:t xml:space="preserve"> se busca contar con una herramienta confiable</w:t>
      </w:r>
      <w:r>
        <w:t xml:space="preserve"> </w:t>
      </w:r>
      <w:r w:rsidRPr="00980DC9">
        <w:t xml:space="preserve">que permita </w:t>
      </w:r>
      <w:r>
        <w:t>evaluar</w:t>
      </w:r>
      <w:r w:rsidRPr="00980DC9">
        <w:t xml:space="preserve"> las consecuencias y </w:t>
      </w:r>
      <w:r>
        <w:t>facilitar</w:t>
      </w:r>
      <w:r w:rsidRPr="00980DC9">
        <w:t xml:space="preserve"> proceso</w:t>
      </w:r>
      <w:r>
        <w:t>s</w:t>
      </w:r>
      <w:r w:rsidRPr="00980DC9">
        <w:t xml:space="preserve"> de intervención temprana;</w:t>
      </w:r>
      <w:r>
        <w:t xml:space="preserve"> para lo cual se propone un paradigma cuantitativo orientado al diseño y validación de un instrumento que permita la operacionalización de variables y el análisis estadístico de los datos obtenidos, con el objetivo de evaluar la confiabilidad y validez del instrumento </w:t>
      </w:r>
      <w:r w:rsidRPr="00595868">
        <w:t>(Sánchez Molina &amp; Murillo Garza, 2021)</w:t>
      </w:r>
      <w:r>
        <w:t xml:space="preserve">, </w:t>
      </w:r>
      <w:r w:rsidRPr="00980DC9">
        <w:t xml:space="preserve"> </w:t>
      </w:r>
      <w:r>
        <w:t>con un diseño</w:t>
      </w:r>
      <w:r w:rsidRPr="00980DC9">
        <w:t xml:space="preserve"> no experimental</w:t>
      </w:r>
      <w:r>
        <w:t xml:space="preserve"> dado que no se  realizará manipulación a las variables analizadas</w:t>
      </w:r>
      <w:r w:rsidRPr="00980DC9">
        <w:t>, de alcance correlacion</w:t>
      </w:r>
      <w:r>
        <w:t xml:space="preserve">al transversal que permita explorar vínculos entre dos o más variables dentro de un ambiente determinado en único momento y lugar </w:t>
      </w:r>
      <w:r w:rsidRPr="00C66DA1">
        <w:t>(Hernández Sampieri &amp; Mendoza, 2023)</w:t>
      </w:r>
      <w:r>
        <w:t>.</w:t>
      </w:r>
    </w:p>
    <w:p w14:paraId="1499DE1A" w14:textId="77777777" w:rsidR="003074F0" w:rsidRDefault="003074F0" w:rsidP="00F80DDD">
      <w:pPr>
        <w:spacing w:line="360" w:lineRule="auto"/>
        <w:jc w:val="both"/>
      </w:pPr>
      <w:r>
        <w:t>De igual forma el estudio c</w:t>
      </w:r>
      <w:r w:rsidRPr="003074F0">
        <w:t>omo parte del proceso metodológico, llevará a cabo la validación del instrumento</w:t>
      </w:r>
      <w:r>
        <w:t>, i</w:t>
      </w:r>
      <w:r w:rsidRPr="003074F0">
        <w:t>nicialmente se contempla la validación de contenido y de constructo por juicio de expertos,</w:t>
      </w:r>
      <w:r>
        <w:t xml:space="preserve"> </w:t>
      </w:r>
      <w:r w:rsidRPr="003074F0">
        <w:t>quienes evaluarán coherencia y relevancia de los ítems, posteriormente, se realizará la aplicación de un estudio piloto con una muestra de la población objeto de estudio, para identificar posibles ajustes y estimar la consistencia interna del instrumento, finalmente se hallará la fiabilidad mediante el coeficiente alfa de Cronbach.</w:t>
      </w:r>
    </w:p>
    <w:p w14:paraId="6DEA5060" w14:textId="77777777" w:rsidR="003074F0" w:rsidRPr="00980DC9" w:rsidRDefault="003074F0" w:rsidP="00F80DDD">
      <w:pPr>
        <w:spacing w:line="360" w:lineRule="auto"/>
        <w:jc w:val="both"/>
      </w:pPr>
      <w:r>
        <w:t>Todo esto bajo una r</w:t>
      </w:r>
      <w:r w:rsidRPr="00980DC9">
        <w:t>igurosidad ética, acorde a la ley 1090 del 2006, el Código Deontológico y Bioético del Psicólogo colombiano (Congreso de la República de Colombia, 2006)</w:t>
      </w:r>
      <w:r>
        <w:t xml:space="preserve">, </w:t>
      </w:r>
      <w:r w:rsidRPr="00980DC9">
        <w:t>la Declaración de Helsinki (Asociación Médica Mundial, 2013)</w:t>
      </w:r>
      <w:r>
        <w:t xml:space="preserve">, enfocada a la </w:t>
      </w:r>
      <w:r w:rsidRPr="00980DC9">
        <w:t xml:space="preserve">investigación </w:t>
      </w:r>
      <w:r>
        <w:t xml:space="preserve">en las áreas de salud en </w:t>
      </w:r>
      <w:r w:rsidRPr="00980DC9">
        <w:t>seres humanos y la Resolución 8430 de 1993, por la cual se definen las normas científicas, técnicas y administrativas en la investigación en salud (Ministerio de Salud, 1993)</w:t>
      </w:r>
      <w:r>
        <w:t xml:space="preserve">; el estudio prestará especial atención al manejo ético de la información para evitar estigmas o prejuicios, los datos </w:t>
      </w:r>
      <w:r w:rsidRPr="006B62D1">
        <w:t>serán utilizados únicamente con fines de investigación, protegidos bajo criterios de seguridad</w:t>
      </w:r>
      <w:r>
        <w:t xml:space="preserve"> y privacidad, y se solicitará la aprobación del comité de ética correspondiente antes de la ejecución del estudio</w:t>
      </w:r>
    </w:p>
    <w:p w14:paraId="511A7746" w14:textId="77777777" w:rsidR="003074F0" w:rsidRPr="00980DC9" w:rsidRDefault="003074F0" w:rsidP="00F80DDD">
      <w:pPr>
        <w:spacing w:line="360" w:lineRule="auto"/>
        <w:jc w:val="both"/>
      </w:pPr>
      <w:r w:rsidRPr="00980DC9">
        <w:t>Como resultados, se proyecta validar el instrumento diseñado, permitiendo identificar la relación entre el consumo de cannabis y las alteraciones en la memoria episódica, así como, distinguir Las diferencias según el tipo, frecuencia y modo de consumo. Este estudio contribuirá a la comprensión de cómo el consumo de cannabis podría afectar la memoria y centrara las bases de futuras investigaciones y estrategias preventivas.</w:t>
      </w:r>
    </w:p>
    <w:p w14:paraId="404095D1" w14:textId="77777777" w:rsidR="00544C1C" w:rsidRPr="00980DC9" w:rsidRDefault="00544C1C" w:rsidP="00544C1C">
      <w:pPr>
        <w:spacing w:line="360" w:lineRule="auto"/>
        <w:jc w:val="center"/>
      </w:pPr>
    </w:p>
    <w:p w14:paraId="08C046D9" w14:textId="575507C7" w:rsidR="00544C1C" w:rsidRPr="00980DC9" w:rsidRDefault="00544C1C" w:rsidP="00544C1C">
      <w:pPr>
        <w:spacing w:line="360" w:lineRule="auto"/>
        <w:rPr>
          <w:b/>
          <w:bCs/>
        </w:rPr>
      </w:pPr>
      <w:r w:rsidRPr="00980DC9">
        <w:rPr>
          <w:b/>
          <w:bCs/>
        </w:rPr>
        <w:t xml:space="preserve">palabras claves: </w:t>
      </w:r>
      <w:r w:rsidRPr="00980DC9">
        <w:t xml:space="preserve">Memoria </w:t>
      </w:r>
      <w:r w:rsidR="005762C0">
        <w:t>a</w:t>
      </w:r>
      <w:r w:rsidR="005762C0" w:rsidRPr="00980DC9">
        <w:t xml:space="preserve"> Corto Plazo, </w:t>
      </w:r>
      <w:r w:rsidRPr="00980DC9">
        <w:t xml:space="preserve">Instrumento </w:t>
      </w:r>
      <w:r w:rsidR="005762C0" w:rsidRPr="00980DC9">
        <w:t xml:space="preserve">Psicométrico, </w:t>
      </w:r>
      <w:r w:rsidRPr="00980DC9">
        <w:t xml:space="preserve">Adultos </w:t>
      </w:r>
      <w:r w:rsidR="005762C0" w:rsidRPr="00980DC9">
        <w:t xml:space="preserve">Emergentes </w:t>
      </w:r>
      <w:r w:rsidR="005762C0">
        <w:t xml:space="preserve">y </w:t>
      </w:r>
      <w:r w:rsidRPr="00980DC9">
        <w:t xml:space="preserve">Consumo </w:t>
      </w:r>
      <w:r w:rsidR="005762C0" w:rsidRPr="00980DC9">
        <w:t>De Cannabis</w:t>
      </w:r>
      <w:r w:rsidR="005762C0" w:rsidRPr="00980DC9">
        <w:rPr>
          <w:b/>
          <w:bCs/>
        </w:rPr>
        <w:t>.</w:t>
      </w:r>
    </w:p>
    <w:p w14:paraId="4B94A8D8" w14:textId="77777777" w:rsidR="0029569F" w:rsidRDefault="0029569F" w:rsidP="0029569F">
      <w:pPr>
        <w:spacing w:after="120" w:line="360" w:lineRule="auto"/>
        <w:jc w:val="both"/>
      </w:pPr>
      <w:r>
        <w:rPr>
          <w:b/>
        </w:rPr>
        <w:t xml:space="preserve">Referencias </w:t>
      </w:r>
    </w:p>
    <w:p w14:paraId="2BB63FAE" w14:textId="77777777" w:rsidR="00F80DDD" w:rsidRPr="00F80DDD" w:rsidRDefault="00F80DDD" w:rsidP="00F80DDD">
      <w:pPr>
        <w:pStyle w:val="referecnias"/>
      </w:pPr>
      <w:r w:rsidRPr="00F80DDD">
        <w:t xml:space="preserve">Asociación Médica Mundial. (2013). Declaración de Helsinki de la AMM: Principios éticos para las investigaciones médicas en seres humanos. </w:t>
      </w:r>
      <w:hyperlink r:id="rId10" w:history="1">
        <w:r w:rsidRPr="00F80DDD">
          <w:rPr>
            <w:rStyle w:val="Hipervnculo"/>
            <w:color w:val="000000" w:themeColor="text1"/>
            <w:u w:val="none"/>
          </w:rPr>
          <w:t>https://www.wma.net/es/que-hacemos/etica-medica/declaracion-de-helsinki/</w:t>
        </w:r>
      </w:hyperlink>
    </w:p>
    <w:p w14:paraId="09B5C5B7" w14:textId="77777777" w:rsidR="00F80DDD" w:rsidRPr="00F80DDD" w:rsidRDefault="00F80DDD" w:rsidP="00F80DDD">
      <w:pPr>
        <w:pStyle w:val="referecnias"/>
      </w:pPr>
      <w:r w:rsidRPr="00F80DDD">
        <w:t xml:space="preserve">Congreso de la República de Colombia. (2006, 6 de septiembre). Ley 1090 de 2006: Por la cual se reglamenta el ejercicio de la profesión de Psicología, se dicta el Código Deontológico y Bioético y otras disposiciones. Diario Oficial No. 46.383. </w:t>
      </w:r>
      <w:hyperlink r:id="rId11" w:history="1">
        <w:r w:rsidRPr="00F80DDD">
          <w:rPr>
            <w:rStyle w:val="Hipervnculo"/>
            <w:color w:val="000000" w:themeColor="text1"/>
            <w:u w:val="none"/>
          </w:rPr>
          <w:t>https://www.funcionpublica.gov.co/eva/gestornormativo/norma.php?i=66205</w:t>
        </w:r>
      </w:hyperlink>
    </w:p>
    <w:p w14:paraId="1D6EA63E" w14:textId="77777777" w:rsidR="00F80DDD" w:rsidRPr="00F80DDD" w:rsidRDefault="00F80DDD" w:rsidP="00F80DDD">
      <w:pPr>
        <w:pStyle w:val="referecnias"/>
      </w:pPr>
      <w:r w:rsidRPr="005762C0">
        <w:rPr>
          <w:lang w:val="en-US"/>
        </w:rPr>
        <w:t>Cubillos Sánchez, P. A. (2020). Cannabis for medical and scientific purposes: The Colombian landscape. </w:t>
      </w:r>
      <w:r w:rsidRPr="00F80DDD">
        <w:t>Colombian Journal of Anesthesiology, 49(2), Artículo e954. </w:t>
      </w:r>
      <w:hyperlink r:id="rId12" w:tgtFrame="_blank" w:history="1">
        <w:r w:rsidRPr="00F80DDD">
          <w:rPr>
            <w:rStyle w:val="Hipervnculo"/>
            <w:color w:val="000000" w:themeColor="text1"/>
            <w:u w:val="none"/>
          </w:rPr>
          <w:t>https://doi.org/10.5554/22562087.e954</w:t>
        </w:r>
      </w:hyperlink>
    </w:p>
    <w:p w14:paraId="38EC6B2C" w14:textId="77777777" w:rsidR="00F80DDD" w:rsidRPr="00F80DDD" w:rsidRDefault="00F80DDD" w:rsidP="00F80DDD">
      <w:pPr>
        <w:pStyle w:val="referecnias"/>
      </w:pPr>
      <w:r w:rsidRPr="00F80DDD">
        <w:t>Hernández Sampieri, R., &amp; Mendoza Torres, C. P. (2023). Metodología de la investigación: Las rutas cuantitativa, cualitativa y mixta. McGraw Hill.</w:t>
      </w:r>
    </w:p>
    <w:p w14:paraId="60D837DF" w14:textId="77777777" w:rsidR="00F80DDD" w:rsidRPr="00F80DDD" w:rsidRDefault="00F80DDD" w:rsidP="00F80DDD">
      <w:pPr>
        <w:pStyle w:val="referecnias"/>
      </w:pPr>
      <w:r w:rsidRPr="00F80DDD">
        <w:t xml:space="preserve">Instituto Nacional sobre el Abuso de Drogas. (2023, agosto 17). El consumo de marihuana y alucinógenos y el consumo excesivo de alcohol en adultos de 35 a 50 años alcanzaron niveles históricamente altos. </w:t>
      </w:r>
      <w:hyperlink r:id="rId13" w:tgtFrame="_new" w:history="1">
        <w:r w:rsidRPr="00F80DDD">
          <w:rPr>
            <w:rStyle w:val="Hipervnculo"/>
            <w:color w:val="000000" w:themeColor="text1"/>
            <w:u w:val="none"/>
          </w:rPr>
          <w:t>https://nida.nih.gov/es/news-events/news-releases/2023/08/el-consumo-de-marihuana-y-alucinogenos-y-el-consumo-excesivo-de-alcohol-en-adultos-de-35-a-50-anos-alcanzaron-niveles-historicamente-altos</w:t>
        </w:r>
      </w:hyperlink>
    </w:p>
    <w:p w14:paraId="61E44B63" w14:textId="77777777" w:rsidR="00F80DDD" w:rsidRPr="00F80DDD" w:rsidRDefault="00F80DDD" w:rsidP="00F80DDD">
      <w:pPr>
        <w:pStyle w:val="referecnias"/>
      </w:pPr>
      <w:r w:rsidRPr="005762C0">
        <w:rPr>
          <w:lang w:val="en-US"/>
        </w:rPr>
        <w:t>Matud, M. P., Díaz, A., Bethencourt, J. M., &amp; Ibáñez, I. (2020). Stress and psychological distress in emerging adulthood: A gender analysis. </w:t>
      </w:r>
      <w:r w:rsidRPr="00F80DDD">
        <w:t>Journal of Clinical Medicine, 9(9), 2859. </w:t>
      </w:r>
      <w:hyperlink r:id="rId14" w:tgtFrame="_blank" w:history="1">
        <w:r w:rsidRPr="00F80DDD">
          <w:rPr>
            <w:rStyle w:val="Hipervnculo"/>
            <w:color w:val="000000" w:themeColor="text1"/>
            <w:u w:val="none"/>
          </w:rPr>
          <w:t>https://doi.org/10.3390/jcm9092859</w:t>
        </w:r>
      </w:hyperlink>
    </w:p>
    <w:p w14:paraId="0E2D0BF4" w14:textId="77777777" w:rsidR="00F80DDD" w:rsidRPr="00F80DDD" w:rsidRDefault="00F80DDD" w:rsidP="00F80DDD">
      <w:pPr>
        <w:pStyle w:val="referecnias"/>
      </w:pPr>
      <w:r w:rsidRPr="00F80DDD">
        <w:t xml:space="preserve">Ministerio de Justicia y del Derecho, Observatorio de Drogas de Colombia, &amp; Departamento Administrativo Nacional de Estadística. (2019). Estudio nacional de consumo de sustancias psicoactivas Colombia 2019. Ministerio de Justicia y del </w:t>
      </w:r>
      <w:r w:rsidRPr="00F80DDD">
        <w:lastRenderedPageBreak/>
        <w:t>Derecho. </w:t>
      </w:r>
      <w:hyperlink r:id="rId15" w:tgtFrame="_blank" w:history="1">
        <w:r w:rsidRPr="00F80DDD">
          <w:rPr>
            <w:rStyle w:val="Hipervnculo"/>
            <w:color w:val="000000" w:themeColor="text1"/>
            <w:u w:val="none"/>
          </w:rPr>
          <w:t>https://www.minjusticia.gov.co/programas-co/ODC/Documents/Publicaciones/Consumo/Estudios/estudio%20Nacional%20de%20consumo%202019v2.pdf</w:t>
        </w:r>
      </w:hyperlink>
    </w:p>
    <w:p w14:paraId="661B0A15" w14:textId="2EDBA421" w:rsidR="00F80DDD" w:rsidRPr="00F80DDD" w:rsidRDefault="00F80DDD" w:rsidP="00F80DDD">
      <w:pPr>
        <w:pStyle w:val="referecnias"/>
      </w:pPr>
      <w:r w:rsidRPr="00F80DDD">
        <w:t>Ministerio de Salud. (1993, 4 de octubre). Resolución 8430 de 1993: Por la cual se establecen las normas científicas, técnicas y administrativas para la investigación ensalud. </w:t>
      </w:r>
      <w:hyperlink r:id="rId16" w:tgtFrame="_blank" w:history="1">
        <w:r w:rsidRPr="00F80DDD">
          <w:rPr>
            <w:rStyle w:val="Hipervnculo"/>
            <w:color w:val="000000" w:themeColor="text1"/>
            <w:u w:val="none"/>
          </w:rPr>
          <w:t>https://www.minsalud.gov.co/sites/rid/lists/bibliotecadigital/ride/de/dij/resolucion-8430-de-1993.pdf</w:t>
        </w:r>
      </w:hyperlink>
    </w:p>
    <w:p w14:paraId="515BB5E0" w14:textId="76EC043E" w:rsidR="0029569F" w:rsidRPr="00F80DDD" w:rsidRDefault="00F80DDD" w:rsidP="00F80DDD">
      <w:pPr>
        <w:pStyle w:val="referecnias"/>
      </w:pPr>
      <w:r w:rsidRPr="00F80DDD">
        <w:t>Sánchez Molina, A. A., &amp; Murillo Garza, A. (2021). Enfoques metodológicos en la investigación histórica: cuantitativa, cualitativa y comparativa. Debates por la Historia, 9(2), 147–181. https://doi.org/10.54167/debates-por-la-historia.v9i2.792</w:t>
      </w:r>
    </w:p>
    <w:p w14:paraId="14787E1D" w14:textId="77777777" w:rsidR="00D92F20" w:rsidRPr="00F80DDD" w:rsidRDefault="00D92F20" w:rsidP="0029569F">
      <w:pPr>
        <w:spacing w:after="120" w:line="360" w:lineRule="auto"/>
        <w:ind w:left="720" w:hanging="720"/>
        <w:jc w:val="both"/>
      </w:pPr>
    </w:p>
    <w:p w14:paraId="7E569895" w14:textId="24BB2CBD" w:rsidR="0029569F" w:rsidRPr="00D54295" w:rsidRDefault="00F80DDD" w:rsidP="0029569F">
      <w:pPr>
        <w:spacing w:after="80"/>
        <w:jc w:val="center"/>
        <w:rPr>
          <w:b/>
          <w:color w:val="1F3864" w:themeColor="accent1" w:themeShade="80"/>
          <w:sz w:val="24"/>
          <w:szCs w:val="24"/>
          <w:lang w:val="en-US"/>
        </w:rPr>
      </w:pPr>
      <w:r w:rsidRPr="00F80DDD">
        <w:rPr>
          <w:b/>
          <w:color w:val="1F3864" w:themeColor="accent1" w:themeShade="80"/>
          <w:sz w:val="24"/>
          <w:szCs w:val="24"/>
          <w:lang w:val="en-US"/>
        </w:rPr>
        <w:t>PSYCHOMETRIC CONSTRUCTION TO EVALUATE SHORT-TERM MEMORY IN CANNABIS CONSUMERS</w:t>
      </w:r>
    </w:p>
    <w:p w14:paraId="5B2881FD" w14:textId="77777777" w:rsidR="0029569F" w:rsidRPr="005762C0" w:rsidRDefault="0029569F" w:rsidP="0029569F">
      <w:pPr>
        <w:spacing w:after="40" w:line="360" w:lineRule="auto"/>
        <w:rPr>
          <w:b/>
          <w:lang w:val="en-US"/>
        </w:rPr>
      </w:pPr>
    </w:p>
    <w:p w14:paraId="3C0FBC79" w14:textId="77777777" w:rsidR="0029569F" w:rsidRPr="00F80DDD" w:rsidRDefault="0029569F" w:rsidP="0029569F">
      <w:pPr>
        <w:spacing w:after="40" w:line="360" w:lineRule="auto"/>
        <w:rPr>
          <w:lang w:val="en-US"/>
        </w:rPr>
      </w:pPr>
      <w:r w:rsidRPr="00F80DDD">
        <w:rPr>
          <w:b/>
          <w:lang w:val="en-US"/>
        </w:rPr>
        <w:t>Abstract</w:t>
      </w:r>
    </w:p>
    <w:p w14:paraId="70D9459E" w14:textId="77777777" w:rsidR="00F80DDD" w:rsidRPr="00F80DDD" w:rsidRDefault="00F80DDD" w:rsidP="00F80DDD">
      <w:pPr>
        <w:spacing w:line="360" w:lineRule="auto"/>
        <w:jc w:val="both"/>
        <w:rPr>
          <w:bCs/>
          <w:lang w:val="en-US"/>
        </w:rPr>
      </w:pPr>
      <w:r w:rsidRPr="00F80DDD">
        <w:rPr>
          <w:bCs/>
          <w:lang w:val="en-US"/>
        </w:rPr>
        <w:t>This research focuses on developing a psychometric instrument to assess the impact of cannabis use on episodic or short-term memory in emerging adults, considering the psychosocial factors characteristic of this developmental stage as a central element (Matud et al., 2020). This is in the context of the increasing use of this substance, attributed to recent legalization laws (Cubillos Sánchez, 2020), which provide an ideal environment for its distribution and contribute to high consumption rates. According to the National Institute on Drug Abuse (2023), in Colombia, it is estimated that 21% of adults between 19 and 30 years of age have used cannabis at least once in their lives, and there are an estimated 640,000 active users nationwide (Ministry of Justice et al., 2019).</w:t>
      </w:r>
    </w:p>
    <w:p w14:paraId="5A50A13A" w14:textId="77777777" w:rsidR="00F80DDD" w:rsidRPr="00F80DDD" w:rsidRDefault="00F80DDD" w:rsidP="00F80DDD">
      <w:pPr>
        <w:spacing w:line="360" w:lineRule="auto"/>
        <w:jc w:val="both"/>
        <w:rPr>
          <w:bCs/>
          <w:lang w:val="en-US"/>
        </w:rPr>
      </w:pPr>
    </w:p>
    <w:p w14:paraId="62461E63" w14:textId="77777777" w:rsidR="00F80DDD" w:rsidRPr="00F80DDD" w:rsidRDefault="00F80DDD" w:rsidP="00F80DDD">
      <w:pPr>
        <w:spacing w:line="360" w:lineRule="auto"/>
        <w:jc w:val="both"/>
        <w:rPr>
          <w:bCs/>
          <w:lang w:val="en-US"/>
        </w:rPr>
      </w:pPr>
      <w:r w:rsidRPr="00F80DDD">
        <w:rPr>
          <w:bCs/>
          <w:lang w:val="en-US"/>
        </w:rPr>
        <w:t xml:space="preserve">Given this reality, the aim is to develop a reliable tool to evaluate the consequences of cannabis use and facilitate early intervention processes. To this end, a quantitative paradigm is proposed, oriented </w:t>
      </w:r>
      <w:r w:rsidRPr="00F80DDD">
        <w:rPr>
          <w:bCs/>
          <w:lang w:val="en-US"/>
        </w:rPr>
        <w:lastRenderedPageBreak/>
        <w:t>towards the design and validation of an instrument that allows for the operationalization of variables and the statistical analysis of the data obtained, with the objective of evaluating the instrument's reliability and validity (Sánchez Molina &amp; Murillo Garza, 2021). This will be a non-experimental design, given that no manipulation of the analyzed variables will be performed. It will have a cross-sectional correlational scope, allowing for the exploration of relationships between two or more variables within a specific environment at a single time and place (Hernández Sampieri &amp; Mendoza, 2023).</w:t>
      </w:r>
    </w:p>
    <w:p w14:paraId="6102DF03" w14:textId="16CBE59F" w:rsidR="00F80DDD" w:rsidRPr="00F80DDD" w:rsidRDefault="00F80DDD" w:rsidP="00F80DDD">
      <w:pPr>
        <w:spacing w:line="360" w:lineRule="auto"/>
        <w:jc w:val="both"/>
        <w:rPr>
          <w:bCs/>
          <w:lang w:val="en-US"/>
        </w:rPr>
      </w:pPr>
      <w:r w:rsidRPr="00F80DDD">
        <w:rPr>
          <w:bCs/>
          <w:lang w:val="en-US"/>
        </w:rPr>
        <w:t>Likewise, as part of the methodological process, the study will carry out the validation of the instrument. Initially, content and construct validation will be conducted through expert judgment, who will evaluate the coherence and relevance of the items. Subsequently, a pilot study will be applied with a sample of the target population to identify possible adjustments and estimate the instrument's internal consistency. Finally, reliability will be determined using Cronbach's alpha coefficient.</w:t>
      </w:r>
    </w:p>
    <w:p w14:paraId="6BF55760" w14:textId="463267FB" w:rsidR="00F80DDD" w:rsidRPr="00F80DDD" w:rsidRDefault="00F80DDD" w:rsidP="00F80DDD">
      <w:pPr>
        <w:spacing w:line="360" w:lineRule="auto"/>
        <w:jc w:val="both"/>
        <w:rPr>
          <w:bCs/>
          <w:lang w:val="en-US"/>
        </w:rPr>
      </w:pPr>
      <w:r w:rsidRPr="00F80DDD">
        <w:rPr>
          <w:bCs/>
          <w:lang w:val="en-US"/>
        </w:rPr>
        <w:t>All of this will be conducted under rigorous ethical standards, in accordance with Law 1090 of 2006, the Colombian Psychologist's Code of Ethics and Bioethics (Congress of the Republic of Colombia, 2006), the Declaration of Helsinki (World Medical Association, 2013), focused on research in the health field involving human subjects, and Resolution 8430 of 1993, which defines the scientific, technical, and administrative standards for health research (Ministry of Health, 1993). The study will pay special attention to the ethical handling of information to avoid stigma or prejudice. Data will be used solely for research purposes, protected under security and privacy criteria, and approval will be requested from the corresponding ethics committee before the study begins. The projected results include validating the designed instrument, allowing for the identification of the relationship between cannabis use and alterations in episodic memory, as well as distinguishing differences according to the type, frequency, and method of consumption. This study will contribute to the understanding of how cannabis use may affect memory and will lay the foundation for future research and preventative strategies.</w:t>
      </w:r>
    </w:p>
    <w:p w14:paraId="23B65418" w14:textId="7D57F41E" w:rsidR="0029569F" w:rsidRPr="00F80DDD" w:rsidRDefault="0029569F" w:rsidP="0029569F">
      <w:pPr>
        <w:spacing w:line="360" w:lineRule="auto"/>
        <w:jc w:val="both"/>
        <w:rPr>
          <w:bCs/>
          <w:lang w:val="en-US"/>
        </w:rPr>
      </w:pPr>
      <w:r w:rsidRPr="00F80DDD">
        <w:rPr>
          <w:b/>
          <w:lang w:val="en-US"/>
        </w:rPr>
        <w:t xml:space="preserve">Keywords: </w:t>
      </w:r>
      <w:r w:rsidR="00F80DDD" w:rsidRPr="00F80DDD">
        <w:rPr>
          <w:bCs/>
          <w:lang w:val="en-US"/>
        </w:rPr>
        <w:t>Short</w:t>
      </w:r>
      <w:r w:rsidR="00F80DDD">
        <w:rPr>
          <w:bCs/>
          <w:lang w:val="en-US"/>
        </w:rPr>
        <w:t xml:space="preserve"> </w:t>
      </w:r>
      <w:r w:rsidR="005762C0" w:rsidRPr="00F80DDD">
        <w:rPr>
          <w:bCs/>
          <w:lang w:val="en-US"/>
        </w:rPr>
        <w:t xml:space="preserve">Term Memory, </w:t>
      </w:r>
      <w:r w:rsidR="00F80DDD" w:rsidRPr="00F80DDD">
        <w:rPr>
          <w:bCs/>
          <w:lang w:val="en-US"/>
        </w:rPr>
        <w:t xml:space="preserve">Psychometric </w:t>
      </w:r>
      <w:r w:rsidR="005762C0" w:rsidRPr="00F80DDD">
        <w:rPr>
          <w:bCs/>
          <w:lang w:val="en-US"/>
        </w:rPr>
        <w:t xml:space="preserve">Instrument, </w:t>
      </w:r>
      <w:r w:rsidR="00F80DDD" w:rsidRPr="00F80DDD">
        <w:rPr>
          <w:bCs/>
          <w:lang w:val="en-US"/>
        </w:rPr>
        <w:t xml:space="preserve">Emerging </w:t>
      </w:r>
      <w:r w:rsidR="005762C0" w:rsidRPr="00F80DDD">
        <w:rPr>
          <w:bCs/>
          <w:lang w:val="en-US"/>
        </w:rPr>
        <w:t xml:space="preserve">Adults </w:t>
      </w:r>
      <w:r w:rsidR="005762C0">
        <w:rPr>
          <w:bCs/>
          <w:lang w:val="en-US"/>
        </w:rPr>
        <w:t>a</w:t>
      </w:r>
      <w:r w:rsidR="005762C0" w:rsidRPr="00F80DDD">
        <w:rPr>
          <w:bCs/>
          <w:lang w:val="en-US"/>
        </w:rPr>
        <w:t xml:space="preserve">nd </w:t>
      </w:r>
      <w:r w:rsidR="00F80DDD" w:rsidRPr="00F80DDD">
        <w:rPr>
          <w:bCs/>
          <w:lang w:val="en-US"/>
        </w:rPr>
        <w:t xml:space="preserve">Cannabis </w:t>
      </w:r>
      <w:r w:rsidR="005762C0" w:rsidRPr="00F80DDD">
        <w:rPr>
          <w:bCs/>
          <w:lang w:val="en-US"/>
        </w:rPr>
        <w:t>Use</w:t>
      </w:r>
      <w:r w:rsidR="00F80DDD" w:rsidRPr="00F80DDD">
        <w:rPr>
          <w:bCs/>
          <w:lang w:val="en-US"/>
        </w:rPr>
        <w:t>.</w:t>
      </w:r>
    </w:p>
    <w:p w14:paraId="24C4D478" w14:textId="77777777" w:rsidR="0029569F" w:rsidRPr="00F80DDD" w:rsidRDefault="0029569F" w:rsidP="0029569F">
      <w:pPr>
        <w:spacing w:after="120" w:line="360" w:lineRule="auto"/>
        <w:jc w:val="both"/>
        <w:rPr>
          <w:lang w:val="en-US"/>
        </w:rPr>
      </w:pPr>
      <w:r w:rsidRPr="00F80DDD">
        <w:rPr>
          <w:b/>
          <w:lang w:val="en-US"/>
        </w:rPr>
        <w:lastRenderedPageBreak/>
        <w:t xml:space="preserve">References  </w:t>
      </w:r>
    </w:p>
    <w:p w14:paraId="41F8252B"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Congress of the Republic of Colombia. (2006, September 6). Law 1090 of 2006: Regulating the Practice of the Psychology Profession, Establishing the Code of Ethics and Bioethics, and Other Provisions. Official Gazette No. 46,383. https://www.funcionpublica.gov.co/eva/gestornormativo/norma.php?i=66205</w:t>
      </w:r>
    </w:p>
    <w:p w14:paraId="67B6B9E9"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Cubillos Sánchez, P. A. (2020). Cannabis for medical and scientific purposes: The Colombian landscape. Colombian Journal of Anesthesiology, 49(2), Article e954. https://doi.org/10.5554/22562087.e954</w:t>
      </w:r>
    </w:p>
    <w:p w14:paraId="680710EF" w14:textId="77777777" w:rsidR="00F80DDD" w:rsidRPr="00F80DDD" w:rsidRDefault="00F80DDD" w:rsidP="00F80DDD">
      <w:pPr>
        <w:pStyle w:val="referecnias"/>
        <w:rPr>
          <w:rStyle w:val="nfasis"/>
          <w:rFonts w:ascii="Arial" w:hAnsi="Arial" w:cs="Arial"/>
          <w:color w:val="1F2937"/>
          <w:sz w:val="21"/>
          <w:szCs w:val="21"/>
          <w:lang w:val="en-US"/>
        </w:rPr>
      </w:pPr>
      <w:r w:rsidRPr="005762C0">
        <w:rPr>
          <w:rStyle w:val="nfasis"/>
          <w:rFonts w:ascii="Arial" w:hAnsi="Arial" w:cs="Arial"/>
          <w:color w:val="1F2937"/>
          <w:sz w:val="21"/>
          <w:szCs w:val="21"/>
          <w:lang w:val="en-US"/>
        </w:rPr>
        <w:t xml:space="preserve">Hernández Sampieri, R., &amp; Mendoza Torres, C. P. (2023). </w:t>
      </w:r>
      <w:r w:rsidRPr="00F80DDD">
        <w:rPr>
          <w:rStyle w:val="nfasis"/>
          <w:rFonts w:ascii="Arial" w:hAnsi="Arial" w:cs="Arial"/>
          <w:color w:val="1F2937"/>
          <w:sz w:val="21"/>
          <w:szCs w:val="21"/>
          <w:lang w:val="en-US"/>
        </w:rPr>
        <w:t>Research Methodology: Quantitative, Qualitative, and Mixed Methods Approaches. McGraw Hill.</w:t>
      </w:r>
    </w:p>
    <w:p w14:paraId="7221933D"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Matud, M. P., Díaz, A., Bethencourt, J. M., &amp; Ibáñez, I. (2020). Stress and psychological distress in emerging adulthood: A gender analysis. Journal of Clinical Medicine, 9(9), 2859. https://doi.org/10.3390/jcm9092859</w:t>
      </w:r>
    </w:p>
    <w:p w14:paraId="0D1A7304"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Ministry of Health. (1993, October 4). Resolution 8430 of 1993: Establishing the scientific, technical, and administrative standards for health research. https://www.minsalud.gov.co/sites/rid/lists/bibliotecadigital/ride/de/dij/resolucion-8430-de-1993.pdf</w:t>
      </w:r>
    </w:p>
    <w:p w14:paraId="4ABB0AA3"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Ministry of Justice and Law, Colombian Drug Observatory, &amp; National Administrative Department of Statistics. (2019). National Study of Psychoactive Substance Use in Colombia 2019. Ministry of Justice and Law. https://www.minjusticia.gov.co/programas-co/ODC/Documents/Publicaciones/Consumo/Estudios/estudio%20Nacional%20de%20consumo%202019v2.pdf</w:t>
      </w:r>
    </w:p>
    <w:p w14:paraId="0493F32C"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t>National Institute on Drug Abuse. (2023, August 17). Marijuana and hallucinogen use and excessive alcohol consumption among adults aged 35 to 50 have reached historically high levels. https://nida.nih.gov/es/news-events/news-releases/2023/08/el-consumo-de-marihuana-y-alucinogenos-y-el-consumo-excesivo-de-alcohol-en-adultos-de-35-a-50-anos-alcanzaron-niveles-historicamente-altos</w:t>
      </w:r>
    </w:p>
    <w:p w14:paraId="3AE49E4D" w14:textId="77777777" w:rsidR="00F80DDD" w:rsidRPr="00F80DDD" w:rsidRDefault="00F80DDD" w:rsidP="00F80DDD">
      <w:pPr>
        <w:pStyle w:val="referecnias"/>
        <w:rPr>
          <w:lang w:val="en-US"/>
        </w:rPr>
      </w:pPr>
      <w:r w:rsidRPr="00F80DDD">
        <w:rPr>
          <w:rStyle w:val="nfasis"/>
          <w:rFonts w:ascii="Arial" w:hAnsi="Arial" w:cs="Arial"/>
          <w:color w:val="1F2937"/>
          <w:sz w:val="21"/>
          <w:szCs w:val="21"/>
        </w:rPr>
        <w:t xml:space="preserve">Sánchez Molina, A. A., &amp; Murillo Garza, A. (2021). </w:t>
      </w:r>
      <w:r w:rsidRPr="00F80DDD">
        <w:rPr>
          <w:rStyle w:val="nfasis"/>
          <w:rFonts w:ascii="Arial" w:hAnsi="Arial" w:cs="Arial"/>
          <w:color w:val="1F2937"/>
          <w:sz w:val="21"/>
          <w:szCs w:val="21"/>
          <w:lang w:val="en-US"/>
        </w:rPr>
        <w:t>Methodological approaches in historical research: quantitative, qualitative, and comparative. Debates for History, 9(2), 147–181. https://doi.org/10.54167/debates-por-la-historia.v9i2.792</w:t>
      </w:r>
    </w:p>
    <w:p w14:paraId="6F99B61A" w14:textId="77777777" w:rsidR="00F80DDD" w:rsidRPr="00F80DDD" w:rsidRDefault="00F80DDD" w:rsidP="00F80DDD">
      <w:pPr>
        <w:pStyle w:val="referecnias"/>
        <w:rPr>
          <w:rStyle w:val="nfasis"/>
          <w:rFonts w:ascii="Arial" w:hAnsi="Arial" w:cs="Arial"/>
          <w:color w:val="1F2937"/>
          <w:sz w:val="21"/>
          <w:szCs w:val="21"/>
          <w:lang w:val="en-US"/>
        </w:rPr>
      </w:pPr>
      <w:r w:rsidRPr="00F80DDD">
        <w:rPr>
          <w:rStyle w:val="nfasis"/>
          <w:rFonts w:ascii="Arial" w:hAnsi="Arial" w:cs="Arial"/>
          <w:color w:val="1F2937"/>
          <w:sz w:val="21"/>
          <w:szCs w:val="21"/>
          <w:lang w:val="en-US"/>
        </w:rPr>
        <w:lastRenderedPageBreak/>
        <w:t>World Medical Association. (2013). WMA Declaration of Helsinki: Ethical Principles for Medical Research Involving Human Subjects. https://www.wma.net/es/que-hacemos/etica-medica/declaracion-de-helsinki/</w:t>
      </w:r>
    </w:p>
    <w:p w14:paraId="6BD2301F" w14:textId="11E133C7" w:rsidR="0029569F" w:rsidRPr="00F80DDD" w:rsidRDefault="0029569F" w:rsidP="0029569F">
      <w:pPr>
        <w:spacing w:line="360" w:lineRule="auto"/>
        <w:jc w:val="both"/>
        <w:rPr>
          <w:lang w:val="en-US"/>
        </w:rPr>
      </w:pPr>
    </w:p>
    <w:p w14:paraId="77B49513" w14:textId="5E3068F3" w:rsidR="003F328F" w:rsidRPr="00F80DDD" w:rsidRDefault="003F328F" w:rsidP="0029569F">
      <w:pPr>
        <w:rPr>
          <w:lang w:val="en-US"/>
        </w:rPr>
      </w:pPr>
    </w:p>
    <w:sectPr w:rsidR="003F328F" w:rsidRPr="00F80DDD" w:rsidSect="003074F0">
      <w:headerReference w:type="default" r:id="rId17"/>
      <w:footerReference w:type="default" r:id="rId18"/>
      <w:pgSz w:w="12240" w:h="15840"/>
      <w:pgMar w:top="241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0C8C" w14:textId="77777777" w:rsidR="00350D15" w:rsidRDefault="00350D15" w:rsidP="003F328F">
      <w:pPr>
        <w:spacing w:after="0" w:line="240" w:lineRule="auto"/>
      </w:pPr>
      <w:r>
        <w:separator/>
      </w:r>
    </w:p>
  </w:endnote>
  <w:endnote w:type="continuationSeparator" w:id="0">
    <w:p w14:paraId="2A33D57A" w14:textId="77777777" w:rsidR="00350D15" w:rsidRDefault="00350D15"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95634"/>
      <w:docPartObj>
        <w:docPartGallery w:val="Page Numbers (Bottom of Page)"/>
        <w:docPartUnique/>
      </w:docPartObj>
    </w:sdt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910454219" name="Imagen 910454219"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A86C" w14:textId="77777777" w:rsidR="00350D15" w:rsidRDefault="00350D15" w:rsidP="003F328F">
      <w:pPr>
        <w:spacing w:after="0" w:line="240" w:lineRule="auto"/>
      </w:pPr>
      <w:r>
        <w:separator/>
      </w:r>
    </w:p>
  </w:footnote>
  <w:footnote w:type="continuationSeparator" w:id="0">
    <w:p w14:paraId="33413E1D" w14:textId="77777777" w:rsidR="00350D15" w:rsidRDefault="00350D15"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511804628" name="Imagen 51180462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37596">
    <w:abstractNumId w:val="0"/>
  </w:num>
  <w:num w:numId="2" w16cid:durableId="581792223">
    <w:abstractNumId w:val="2"/>
  </w:num>
  <w:num w:numId="3" w16cid:durableId="206965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0E76D2"/>
    <w:rsid w:val="00103ACC"/>
    <w:rsid w:val="001C58FF"/>
    <w:rsid w:val="0020493F"/>
    <w:rsid w:val="0029569F"/>
    <w:rsid w:val="002B229D"/>
    <w:rsid w:val="002F4744"/>
    <w:rsid w:val="003074F0"/>
    <w:rsid w:val="00350D15"/>
    <w:rsid w:val="003F328F"/>
    <w:rsid w:val="00544C1C"/>
    <w:rsid w:val="005762C0"/>
    <w:rsid w:val="00684E22"/>
    <w:rsid w:val="006C572E"/>
    <w:rsid w:val="007A6E5C"/>
    <w:rsid w:val="008E1B08"/>
    <w:rsid w:val="00961007"/>
    <w:rsid w:val="00A41ABE"/>
    <w:rsid w:val="00BF6AA4"/>
    <w:rsid w:val="00CA5C76"/>
    <w:rsid w:val="00D54295"/>
    <w:rsid w:val="00D92F20"/>
    <w:rsid w:val="00ED0E0A"/>
    <w:rsid w:val="00F80D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Subttulo">
    <w:name w:val="Subtitle"/>
    <w:aliases w:val="referencia"/>
    <w:basedOn w:val="Normal"/>
    <w:next w:val="Normal"/>
    <w:link w:val="SubttuloCar"/>
    <w:uiPriority w:val="11"/>
    <w:qFormat/>
    <w:rsid w:val="00F80DDD"/>
    <w:pPr>
      <w:pBdr>
        <w:top w:val="nil"/>
        <w:left w:val="nil"/>
        <w:bottom w:val="nil"/>
        <w:right w:val="nil"/>
        <w:between w:val="nil"/>
      </w:pBdr>
      <w:spacing w:after="0" w:line="480" w:lineRule="auto"/>
      <w:ind w:left="851" w:hanging="851"/>
    </w:pPr>
    <w:rPr>
      <w:rFonts w:ascii="Times New Roman" w:eastAsia="Times New Roman" w:hAnsi="Times New Roman" w:cs="Times New Roman"/>
      <w:color w:val="000000"/>
      <w:kern w:val="0"/>
      <w:sz w:val="24"/>
      <w:szCs w:val="24"/>
      <w:lang w:eastAsia="es-CO"/>
      <w14:ligatures w14:val="none"/>
    </w:rPr>
  </w:style>
  <w:style w:type="character" w:customStyle="1" w:styleId="SubttuloCar">
    <w:name w:val="Subtítulo Car"/>
    <w:aliases w:val="referencia Car"/>
    <w:basedOn w:val="Fuentedeprrafopredeter"/>
    <w:link w:val="Subttulo"/>
    <w:uiPriority w:val="11"/>
    <w:rsid w:val="00F80DDD"/>
    <w:rPr>
      <w:rFonts w:ascii="Times New Roman" w:eastAsia="Times New Roman" w:hAnsi="Times New Roman" w:cs="Times New Roman"/>
      <w:color w:val="000000"/>
      <w:kern w:val="0"/>
      <w:sz w:val="24"/>
      <w:szCs w:val="24"/>
      <w:lang w:eastAsia="es-CO"/>
      <w14:ligatures w14:val="none"/>
    </w:rPr>
  </w:style>
  <w:style w:type="paragraph" w:customStyle="1" w:styleId="referecnias">
    <w:name w:val="referecnias"/>
    <w:basedOn w:val="Subttulo"/>
    <w:link w:val="referecniasCar"/>
    <w:qFormat/>
    <w:rsid w:val="00F80DDD"/>
    <w:pPr>
      <w:spacing w:line="360" w:lineRule="auto"/>
      <w:jc w:val="both"/>
    </w:pPr>
    <w:rPr>
      <w:rFonts w:ascii="Calibri" w:hAnsi="Calibri" w:cs="Calibri"/>
      <w:color w:val="000000" w:themeColor="text1"/>
      <w:sz w:val="22"/>
      <w:szCs w:val="22"/>
    </w:rPr>
  </w:style>
  <w:style w:type="character" w:customStyle="1" w:styleId="referecniasCar">
    <w:name w:val="referecnias Car"/>
    <w:basedOn w:val="Fuentedeprrafopredeter"/>
    <w:link w:val="referecnias"/>
    <w:rsid w:val="00F80DDD"/>
    <w:rPr>
      <w:rFonts w:ascii="Calibri" w:eastAsia="Times New Roman" w:hAnsi="Calibri" w:cs="Calibri"/>
      <w:color w:val="000000" w:themeColor="text1"/>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ida.nih.gov/es/news-events/news-releases/2023/08/el-consumo-de-marihuana-y-alucinogenos-y-el-consumo-excesivo-de-alcohol-en-adultos-de-35-a-50-anos-alcanzaron-niveles-historicamente-alto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54/22562087.e95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nsalud.gov.co/sites/rid/lists/bibliotecadigital/ride/de/dij/resolucion-8430-de-199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66205" TargetMode="External"/><Relationship Id="rId5" Type="http://schemas.openxmlformats.org/officeDocument/2006/relationships/webSettings" Target="webSettings.xml"/><Relationship Id="rId15" Type="http://schemas.openxmlformats.org/officeDocument/2006/relationships/hyperlink" Target="https://www.minjusticia.gov.co/programas-co/ODC/Documents/Publicaciones/Consumo/Estudios/estudio%20Nacional%20de%20consumo%202019v2.pdf" TargetMode="External"/><Relationship Id="rId10" Type="http://schemas.openxmlformats.org/officeDocument/2006/relationships/hyperlink" Target="https://www.wma.net/es/que-hacemos/etica-medica/declaracion-de-helsin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unipamplona.edu.co" TargetMode="External"/><Relationship Id="rId14" Type="http://schemas.openxmlformats.org/officeDocument/2006/relationships/hyperlink" Target="https://doi.org/10.3390/jcm90928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2045</Words>
  <Characters>11253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Camilo Andres Villamizar Conde</cp:lastModifiedBy>
  <cp:revision>11</cp:revision>
  <dcterms:created xsi:type="dcterms:W3CDTF">2026-04-27T03:37:00Z</dcterms:created>
  <dcterms:modified xsi:type="dcterms:W3CDTF">2026-04-30T15:56:00Z</dcterms:modified>
</cp:coreProperties>
</file>